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B917E1" w:rsidRDefault="00887CDA" w:rsidP="00566A6F">
      <w:pPr>
        <w:jc w:val="center"/>
        <w:rPr>
          <w:rFonts w:cstheme="minorHAnsi"/>
          <w:b/>
          <w:sz w:val="20"/>
          <w:szCs w:val="20"/>
        </w:rPr>
      </w:pPr>
      <w:r w:rsidRPr="00B917E1">
        <w:rPr>
          <w:rFonts w:cstheme="minorHAnsi"/>
          <w:b/>
          <w:sz w:val="20"/>
          <w:szCs w:val="20"/>
          <w:lang w:val="en-US"/>
        </w:rPr>
        <w:t>Explanatory</w:t>
      </w:r>
      <w:r w:rsidRPr="00B917E1">
        <w:rPr>
          <w:rFonts w:cstheme="minorHAnsi"/>
          <w:b/>
          <w:sz w:val="20"/>
          <w:szCs w:val="20"/>
        </w:rPr>
        <w:t xml:space="preserve"> </w:t>
      </w:r>
      <w:r w:rsidRPr="00B917E1">
        <w:rPr>
          <w:rFonts w:cstheme="minorHAnsi"/>
          <w:b/>
          <w:sz w:val="20"/>
          <w:szCs w:val="20"/>
          <w:lang w:val="en-US"/>
        </w:rPr>
        <w:t>note</w:t>
      </w:r>
      <w:r w:rsidRPr="00B917E1">
        <w:rPr>
          <w:rFonts w:cstheme="minorHAnsi"/>
          <w:b/>
          <w:sz w:val="20"/>
          <w:szCs w:val="20"/>
        </w:rPr>
        <w:t xml:space="preserve"> </w:t>
      </w:r>
      <w:r w:rsidRPr="00B917E1">
        <w:rPr>
          <w:rFonts w:cstheme="minorHAnsi"/>
          <w:b/>
          <w:sz w:val="20"/>
          <w:szCs w:val="20"/>
          <w:lang w:val="en-US"/>
        </w:rPr>
        <w:t>to</w:t>
      </w:r>
      <w:r w:rsidRPr="00B917E1">
        <w:rPr>
          <w:rFonts w:cstheme="minorHAnsi"/>
          <w:b/>
          <w:sz w:val="20"/>
          <w:szCs w:val="20"/>
        </w:rPr>
        <w:t xml:space="preserve"> </w:t>
      </w:r>
      <w:r w:rsidRPr="00B917E1">
        <w:rPr>
          <w:rFonts w:cstheme="minorHAnsi"/>
          <w:b/>
          <w:sz w:val="20"/>
          <w:szCs w:val="20"/>
          <w:lang w:val="en-US"/>
        </w:rPr>
        <w:t>Annex</w:t>
      </w:r>
      <w:r w:rsidR="00634130">
        <w:rPr>
          <w:rFonts w:cstheme="minorHAnsi"/>
          <w:b/>
          <w:sz w:val="20"/>
          <w:szCs w:val="20"/>
          <w:lang w:val="en-US"/>
        </w:rPr>
        <w:t xml:space="preserve"> of CIF authorisation</w:t>
      </w:r>
      <w:r w:rsidR="00566A6F" w:rsidRPr="00B917E1">
        <w:rPr>
          <w:rFonts w:cstheme="minorHAnsi"/>
          <w:b/>
          <w:sz w:val="20"/>
          <w:szCs w:val="20"/>
        </w:rPr>
        <w:t xml:space="preserve"> / </w:t>
      </w:r>
      <w:proofErr w:type="spellStart"/>
      <w:r w:rsidR="00566A6F" w:rsidRPr="00B917E1">
        <w:rPr>
          <w:rFonts w:cstheme="minorHAnsi"/>
          <w:b/>
          <w:sz w:val="20"/>
          <w:szCs w:val="20"/>
        </w:rPr>
        <w:t>Пояснительная</w:t>
      </w:r>
      <w:proofErr w:type="spellEnd"/>
      <w:r w:rsidR="00566A6F" w:rsidRPr="00B917E1">
        <w:rPr>
          <w:rFonts w:cstheme="minorHAnsi"/>
          <w:b/>
          <w:sz w:val="20"/>
          <w:szCs w:val="20"/>
        </w:rPr>
        <w:t xml:space="preserve"> </w:t>
      </w:r>
      <w:proofErr w:type="spellStart"/>
      <w:r w:rsidR="00566A6F" w:rsidRPr="00B917E1">
        <w:rPr>
          <w:rFonts w:cstheme="minorHAnsi"/>
          <w:b/>
          <w:sz w:val="20"/>
          <w:szCs w:val="20"/>
        </w:rPr>
        <w:t>записка</w:t>
      </w:r>
      <w:proofErr w:type="spellEnd"/>
      <w:r w:rsidR="00566A6F" w:rsidRPr="00B917E1">
        <w:rPr>
          <w:rFonts w:cstheme="minorHAnsi"/>
          <w:b/>
          <w:sz w:val="20"/>
          <w:szCs w:val="20"/>
        </w:rPr>
        <w:t xml:space="preserve"> к </w:t>
      </w:r>
      <w:proofErr w:type="spellStart"/>
      <w:r w:rsidR="00566A6F" w:rsidRPr="00B917E1">
        <w:rPr>
          <w:rFonts w:cstheme="minorHAnsi"/>
          <w:b/>
          <w:sz w:val="20"/>
          <w:szCs w:val="20"/>
        </w:rPr>
        <w:t>Приложению</w:t>
      </w:r>
      <w:proofErr w:type="spellEnd"/>
      <w:r w:rsidR="00566A6F" w:rsidRPr="00B917E1">
        <w:rPr>
          <w:rFonts w:cstheme="minorHAnsi"/>
          <w:b/>
          <w:sz w:val="20"/>
          <w:szCs w:val="20"/>
        </w:rPr>
        <w:t xml:space="preserve"> к </w:t>
      </w:r>
      <w:proofErr w:type="spellStart"/>
      <w:r w:rsidR="00566A6F" w:rsidRPr="00B917E1">
        <w:rPr>
          <w:rFonts w:cstheme="minorHAnsi"/>
          <w:b/>
          <w:sz w:val="20"/>
          <w:szCs w:val="20"/>
        </w:rPr>
        <w:t>Лицензии</w:t>
      </w:r>
      <w:proofErr w:type="spellEnd"/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739"/>
        <w:gridCol w:w="14854"/>
      </w:tblGrid>
      <w:tr w:rsidR="00566A6F" w:rsidRPr="00B917E1" w:rsidTr="00397D7E">
        <w:tc>
          <w:tcPr>
            <w:tcW w:w="15593" w:type="dxa"/>
            <w:gridSpan w:val="2"/>
          </w:tcPr>
          <w:p w:rsidR="00566A6F" w:rsidRPr="00B917E1" w:rsidRDefault="00566A6F" w:rsidP="00961C4A">
            <w:pPr>
              <w:rPr>
                <w:rFonts w:cstheme="minorHAnsi"/>
                <w:b/>
                <w:sz w:val="20"/>
                <w:szCs w:val="20"/>
              </w:rPr>
            </w:pPr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 xml:space="preserve">Investment Services/Activities / </w:t>
            </w:r>
            <w:r w:rsidR="00961C4A">
              <w:rPr>
                <w:rFonts w:cstheme="minorHAnsi"/>
                <w:b/>
                <w:sz w:val="20"/>
                <w:szCs w:val="20"/>
                <w:lang w:val="ru-RU"/>
              </w:rPr>
              <w:t>Инвестиционные</w:t>
            </w:r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>услуги</w:t>
            </w:r>
            <w:proofErr w:type="spellEnd"/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I(1)</w:t>
            </w:r>
          </w:p>
        </w:tc>
        <w:tc>
          <w:tcPr>
            <w:tcW w:w="14854" w:type="dxa"/>
          </w:tcPr>
          <w:p w:rsidR="00887CDA" w:rsidRPr="00C02C60" w:rsidRDefault="00566A6F" w:rsidP="00B917E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Reception and transmission of orders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en-US"/>
              </w:rPr>
              <w:t xml:space="preserve">in relation to one or more financial instruments 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B917E1">
              <w:rPr>
                <w:rFonts w:cstheme="minorHAnsi"/>
                <w:sz w:val="20"/>
                <w:szCs w:val="20"/>
                <w:lang w:val="en-US"/>
              </w:rPr>
              <w:t>Прием</w:t>
            </w:r>
            <w:proofErr w:type="spellEnd"/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B917E1">
              <w:rPr>
                <w:rFonts w:cstheme="minorHAnsi"/>
                <w:sz w:val="20"/>
                <w:szCs w:val="20"/>
                <w:lang w:val="en-US"/>
              </w:rPr>
              <w:t>передача</w:t>
            </w:r>
            <w:proofErr w:type="spellEnd"/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17E1">
              <w:rPr>
                <w:rFonts w:cstheme="minorHAnsi"/>
                <w:sz w:val="20"/>
                <w:szCs w:val="20"/>
              </w:rPr>
              <w:t>приказов</w:t>
            </w:r>
            <w:proofErr w:type="spellEnd"/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отношении</w:t>
            </w:r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одного</w:t>
            </w:r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более</w:t>
            </w:r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="00C02C60" w:rsidRPr="00C02C60">
              <w:rPr>
                <w:rFonts w:cstheme="minorHAnsi"/>
                <w:sz w:val="20"/>
                <w:szCs w:val="20"/>
              </w:rPr>
              <w:t xml:space="preserve"> </w:t>
            </w:r>
            <w:r w:rsidR="00C02C60">
              <w:rPr>
                <w:rFonts w:cstheme="minorHAnsi"/>
                <w:sz w:val="20"/>
                <w:szCs w:val="20"/>
                <w:lang w:val="ru-RU"/>
              </w:rPr>
              <w:t>инструментов</w:t>
            </w:r>
            <w:bookmarkStart w:id="0" w:name="_GoBack"/>
            <w:bookmarkEnd w:id="0"/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I(2)</w:t>
            </w:r>
          </w:p>
        </w:tc>
        <w:tc>
          <w:tcPr>
            <w:tcW w:w="14854" w:type="dxa"/>
          </w:tcPr>
          <w:p w:rsidR="00887CDA" w:rsidRPr="00B917E1" w:rsidRDefault="00566A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Execution of orders on behalf of clients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B917E1">
              <w:rPr>
                <w:rFonts w:cstheme="minorHAnsi"/>
                <w:sz w:val="20"/>
                <w:szCs w:val="20"/>
              </w:rPr>
              <w:t>Исполнение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приказов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от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имени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клиента</w:t>
            </w:r>
          </w:p>
        </w:tc>
      </w:tr>
      <w:tr w:rsidR="00887CDA" w:rsidRPr="00B917E1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I(3)</w:t>
            </w:r>
          </w:p>
        </w:tc>
        <w:tc>
          <w:tcPr>
            <w:tcW w:w="14854" w:type="dxa"/>
          </w:tcPr>
          <w:p w:rsidR="00887CDA" w:rsidRPr="00B917E1" w:rsidRDefault="00566A6F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Dealing on own account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B917E1">
              <w:rPr>
                <w:rFonts w:cstheme="minorHAnsi"/>
                <w:sz w:val="20"/>
                <w:szCs w:val="20"/>
              </w:rPr>
              <w:t>Собственная</w:t>
            </w:r>
            <w:proofErr w:type="spellEnd"/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17E1">
              <w:rPr>
                <w:rFonts w:cstheme="minorHAnsi"/>
                <w:sz w:val="20"/>
                <w:szCs w:val="20"/>
              </w:rPr>
              <w:t>торговля</w:t>
            </w:r>
            <w:proofErr w:type="spellEnd"/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="00B917E1">
              <w:rPr>
                <w:rFonts w:cstheme="minorHAnsi"/>
                <w:sz w:val="20"/>
                <w:szCs w:val="20"/>
              </w:rPr>
              <w:t>Дилинг</w:t>
            </w:r>
            <w:proofErr w:type="spellEnd"/>
          </w:p>
        </w:tc>
      </w:tr>
      <w:tr w:rsidR="00887CDA" w:rsidRPr="00B917E1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I(4)</w:t>
            </w:r>
          </w:p>
        </w:tc>
        <w:tc>
          <w:tcPr>
            <w:tcW w:w="14854" w:type="dxa"/>
          </w:tcPr>
          <w:p w:rsidR="00887CDA" w:rsidRPr="00B917E1" w:rsidRDefault="00566A6F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Portfolio management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B917E1">
              <w:rPr>
                <w:rFonts w:cstheme="minorHAnsi"/>
                <w:sz w:val="20"/>
                <w:szCs w:val="20"/>
              </w:rPr>
              <w:t>Управление активами</w:t>
            </w:r>
          </w:p>
        </w:tc>
      </w:tr>
      <w:tr w:rsidR="00887CDA" w:rsidRPr="00B917E1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I(5)</w:t>
            </w:r>
          </w:p>
        </w:tc>
        <w:tc>
          <w:tcPr>
            <w:tcW w:w="14854" w:type="dxa"/>
          </w:tcPr>
          <w:p w:rsidR="00887CDA" w:rsidRPr="00B917E1" w:rsidRDefault="00566A6F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 xml:space="preserve">Investment </w:t>
            </w:r>
            <w:proofErr w:type="spellStart"/>
            <w:r w:rsidRPr="00B917E1">
              <w:rPr>
                <w:rFonts w:cstheme="minorHAnsi"/>
                <w:sz w:val="20"/>
                <w:szCs w:val="20"/>
                <w:lang w:val="en-US"/>
              </w:rPr>
              <w:t>advic</w:t>
            </w:r>
            <w:proofErr w:type="spellEnd"/>
            <w:r w:rsidRPr="00B917E1">
              <w:rPr>
                <w:rFonts w:cstheme="minorHAnsi"/>
                <w:sz w:val="20"/>
                <w:szCs w:val="20"/>
              </w:rPr>
              <w:t>e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B917E1">
              <w:rPr>
                <w:rFonts w:cstheme="minorHAnsi"/>
                <w:sz w:val="20"/>
                <w:szCs w:val="20"/>
              </w:rPr>
              <w:t>Инвестиционное</w:t>
            </w:r>
            <w:proofErr w:type="spellEnd"/>
            <w:r w:rsidR="00B917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917E1">
              <w:rPr>
                <w:rFonts w:cstheme="minorHAnsi"/>
                <w:sz w:val="20"/>
                <w:szCs w:val="20"/>
              </w:rPr>
              <w:t>консультирование</w:t>
            </w:r>
            <w:proofErr w:type="spellEnd"/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I(6)</w:t>
            </w:r>
          </w:p>
        </w:tc>
        <w:tc>
          <w:tcPr>
            <w:tcW w:w="14854" w:type="dxa"/>
          </w:tcPr>
          <w:p w:rsidR="00887CDA" w:rsidRPr="00B917E1" w:rsidRDefault="00566A6F" w:rsidP="00B917E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Underwriting of financial instruments and/or placing of financial instruments on a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firm commitment basis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B917E1">
              <w:rPr>
                <w:rFonts w:cstheme="minorHAnsi"/>
                <w:sz w:val="20"/>
                <w:szCs w:val="20"/>
              </w:rPr>
              <w:t>Размещение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с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твердой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подпиской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I(7)</w:t>
            </w:r>
          </w:p>
        </w:tc>
        <w:tc>
          <w:tcPr>
            <w:tcW w:w="14854" w:type="dxa"/>
          </w:tcPr>
          <w:p w:rsidR="00887CDA" w:rsidRPr="00B917E1" w:rsidRDefault="00566A6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Placing of financial instruments without a firm commitment basis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B917E1">
              <w:rPr>
                <w:rFonts w:cstheme="minorHAnsi"/>
                <w:sz w:val="20"/>
                <w:szCs w:val="20"/>
              </w:rPr>
              <w:t>Размещение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без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твердой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917E1">
              <w:rPr>
                <w:rFonts w:cstheme="minorHAnsi"/>
                <w:sz w:val="20"/>
                <w:szCs w:val="20"/>
              </w:rPr>
              <w:t>подписки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I(8)</w:t>
            </w:r>
          </w:p>
        </w:tc>
        <w:tc>
          <w:tcPr>
            <w:tcW w:w="14854" w:type="dxa"/>
          </w:tcPr>
          <w:p w:rsidR="00887CDA" w:rsidRPr="0048717E" w:rsidRDefault="00566A6F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Operation of Multilateral Trading Facility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Организация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Регулируемой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Торговой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Системы</w:t>
            </w:r>
          </w:p>
        </w:tc>
      </w:tr>
      <w:tr w:rsidR="00566A6F" w:rsidRPr="00B917E1" w:rsidTr="00397D7E">
        <w:tc>
          <w:tcPr>
            <w:tcW w:w="15593" w:type="dxa"/>
            <w:gridSpan w:val="2"/>
          </w:tcPr>
          <w:p w:rsidR="00566A6F" w:rsidRPr="00B917E1" w:rsidRDefault="00566A6F" w:rsidP="00566A6F">
            <w:pPr>
              <w:rPr>
                <w:rFonts w:cstheme="minorHAnsi"/>
                <w:b/>
                <w:sz w:val="20"/>
                <w:szCs w:val="20"/>
              </w:rPr>
            </w:pPr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>Ancillary Services /</w:t>
            </w:r>
            <w:r w:rsidRPr="00B917E1">
              <w:rPr>
                <w:rFonts w:cstheme="minorHAnsi"/>
                <w:b/>
                <w:sz w:val="20"/>
                <w:szCs w:val="20"/>
              </w:rPr>
              <w:t xml:space="preserve"> Вспомогательные Услуги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II(1)</w:t>
            </w:r>
          </w:p>
        </w:tc>
        <w:tc>
          <w:tcPr>
            <w:tcW w:w="14854" w:type="dxa"/>
          </w:tcPr>
          <w:p w:rsidR="00887CDA" w:rsidRPr="0048717E" w:rsidRDefault="00566A6F" w:rsidP="00566A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Safekeeping and administration of financial instruments for the account of clients, including custodianship and related services such as cash/collateral management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Депозитарные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услуги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48717E">
              <w:rPr>
                <w:rFonts w:cstheme="minorHAnsi"/>
                <w:sz w:val="20"/>
                <w:szCs w:val="20"/>
              </w:rPr>
              <w:t>включая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регистрацию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обременений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II(2)</w:t>
            </w:r>
          </w:p>
        </w:tc>
        <w:tc>
          <w:tcPr>
            <w:tcW w:w="14854" w:type="dxa"/>
          </w:tcPr>
          <w:p w:rsidR="00887CDA" w:rsidRPr="0048717E" w:rsidRDefault="00566A6F" w:rsidP="004871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Granting credits or loans to an investor to allow him to carry out a transaction in one or more financial instruments, where the firm granting the credit or loan is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involved in the transaction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Предоставление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кредитов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и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займов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Клиентам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в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целях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поддержания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торговых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операций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II(3)</w:t>
            </w:r>
          </w:p>
        </w:tc>
        <w:tc>
          <w:tcPr>
            <w:tcW w:w="14854" w:type="dxa"/>
          </w:tcPr>
          <w:p w:rsidR="00887CDA" w:rsidRPr="0048717E" w:rsidRDefault="00566A6F" w:rsidP="00566A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Advice to undertakings on capital structure, industrial strategy and related matters and advice and services relating to mergers and the purchase of undertakings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Консультирование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по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корпоративным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финансам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II(4)</w:t>
            </w:r>
          </w:p>
        </w:tc>
        <w:tc>
          <w:tcPr>
            <w:tcW w:w="14854" w:type="dxa"/>
          </w:tcPr>
          <w:p w:rsidR="00887CDA" w:rsidRPr="00961C4A" w:rsidRDefault="00566A6F" w:rsidP="00961C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Foreign exchange services where these are connected to the provision of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investment services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  <w:lang w:val="en-US"/>
              </w:rPr>
              <w:t>В</w:t>
            </w:r>
            <w:proofErr w:type="spellStart"/>
            <w:r w:rsidR="00961C4A">
              <w:rPr>
                <w:rFonts w:cstheme="minorHAnsi"/>
                <w:sz w:val="20"/>
                <w:szCs w:val="20"/>
                <w:lang w:val="ru-RU"/>
              </w:rPr>
              <w:t>спомогательная</w:t>
            </w:r>
            <w:proofErr w:type="spellEnd"/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валютная</w:t>
            </w:r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конверсия</w:t>
            </w:r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предоставления</w:t>
            </w:r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1C4A">
              <w:rPr>
                <w:rFonts w:cstheme="minorHAnsi"/>
                <w:sz w:val="20"/>
                <w:szCs w:val="20"/>
                <w:lang w:val="ru-RU"/>
              </w:rPr>
              <w:t>Инвестиционнных</w:t>
            </w:r>
            <w:proofErr w:type="spellEnd"/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услуг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II(5)</w:t>
            </w:r>
          </w:p>
        </w:tc>
        <w:tc>
          <w:tcPr>
            <w:tcW w:w="14854" w:type="dxa"/>
          </w:tcPr>
          <w:p w:rsidR="00887CDA" w:rsidRPr="0048717E" w:rsidRDefault="00566A6F" w:rsidP="00B917E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Investment research and financial analysis or other forms of general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recommendation relating to transactions in financial instruments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Рыночная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аналитика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и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рекоммендации</w:t>
            </w:r>
            <w:proofErr w:type="spellEnd"/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II(6)</w:t>
            </w:r>
          </w:p>
        </w:tc>
        <w:tc>
          <w:tcPr>
            <w:tcW w:w="14854" w:type="dxa"/>
          </w:tcPr>
          <w:p w:rsidR="00887CDA" w:rsidRPr="0048717E" w:rsidRDefault="00566A6F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17E">
              <w:rPr>
                <w:rFonts w:cstheme="minorHAnsi"/>
                <w:sz w:val="20"/>
                <w:szCs w:val="20"/>
                <w:lang w:val="en-US"/>
              </w:rPr>
              <w:t>Services related to underwriting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Услуги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сопутствующие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андеррайтингу</w:t>
            </w:r>
            <w:proofErr w:type="spellEnd"/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II(7)</w:t>
            </w:r>
          </w:p>
        </w:tc>
        <w:tc>
          <w:tcPr>
            <w:tcW w:w="14854" w:type="dxa"/>
          </w:tcPr>
          <w:p w:rsidR="00887CDA" w:rsidRPr="00961C4A" w:rsidRDefault="00566A6F" w:rsidP="004871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Investment services and activities as well as ancillary services of the type included under Parts I and II related to the underlying of the derivatives included under paragraphs 5, 6, 7 and 10 of Part III where these are connected to the provision of investment or ancillary services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Инвестиционные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и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Вспомогательные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услуги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в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отношении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базисных</w:t>
            </w:r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активов</w:t>
            </w:r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д</w:t>
            </w:r>
            <w:proofErr w:type="spellStart"/>
            <w:r w:rsidR="00961C4A">
              <w:rPr>
                <w:rFonts w:cstheme="minorHAnsi"/>
                <w:sz w:val="20"/>
                <w:szCs w:val="20"/>
              </w:rPr>
              <w:t>ериватив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ных</w:t>
            </w:r>
            <w:proofErr w:type="spellEnd"/>
            <w:r w:rsidR="00961C4A" w:rsidRPr="00961C4A">
              <w:rPr>
                <w:rFonts w:cstheme="minorHAnsi"/>
                <w:sz w:val="20"/>
                <w:szCs w:val="20"/>
              </w:rPr>
              <w:t xml:space="preserve"> </w:t>
            </w:r>
            <w:r w:rsidR="00961C4A">
              <w:rPr>
                <w:rFonts w:cstheme="minorHAnsi"/>
                <w:sz w:val="20"/>
                <w:szCs w:val="20"/>
                <w:lang w:val="ru-RU"/>
              </w:rPr>
              <w:t>инструментов</w:t>
            </w:r>
          </w:p>
        </w:tc>
      </w:tr>
      <w:tr w:rsidR="00566A6F" w:rsidRPr="00B917E1" w:rsidTr="00397D7E">
        <w:tc>
          <w:tcPr>
            <w:tcW w:w="15593" w:type="dxa"/>
            <w:gridSpan w:val="2"/>
          </w:tcPr>
          <w:p w:rsidR="00566A6F" w:rsidRPr="00B917E1" w:rsidRDefault="00566A6F" w:rsidP="008039EC">
            <w:pPr>
              <w:rPr>
                <w:rFonts w:cstheme="minorHAnsi"/>
                <w:b/>
                <w:sz w:val="20"/>
                <w:szCs w:val="20"/>
              </w:rPr>
            </w:pPr>
            <w:r w:rsidRPr="00B917E1">
              <w:rPr>
                <w:rFonts w:cstheme="minorHAnsi"/>
                <w:b/>
                <w:sz w:val="20"/>
                <w:szCs w:val="20"/>
                <w:lang w:val="en-US"/>
              </w:rPr>
              <w:t xml:space="preserve">Financial Instruments / </w:t>
            </w:r>
            <w:r w:rsidRPr="00B917E1">
              <w:rPr>
                <w:rFonts w:cstheme="minorHAnsi"/>
                <w:b/>
                <w:sz w:val="20"/>
                <w:szCs w:val="20"/>
              </w:rPr>
              <w:t>Финансовые Инструменты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III(1)</w:t>
            </w:r>
          </w:p>
        </w:tc>
        <w:tc>
          <w:tcPr>
            <w:tcW w:w="14854" w:type="dxa"/>
          </w:tcPr>
          <w:p w:rsidR="00887CDA" w:rsidRPr="0048717E" w:rsidRDefault="00566A6F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17E">
              <w:rPr>
                <w:rFonts w:cstheme="minorHAnsi"/>
                <w:sz w:val="20"/>
                <w:szCs w:val="20"/>
                <w:lang w:val="en-US"/>
              </w:rPr>
              <w:t>Transferable securities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Инструменты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фондового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рынка</w:t>
            </w:r>
          </w:p>
        </w:tc>
      </w:tr>
      <w:tr w:rsidR="00887CDA" w:rsidRPr="00B917E1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III(2)</w:t>
            </w:r>
          </w:p>
        </w:tc>
        <w:tc>
          <w:tcPr>
            <w:tcW w:w="14854" w:type="dxa"/>
          </w:tcPr>
          <w:p w:rsidR="00887CDA" w:rsidRPr="0048717E" w:rsidRDefault="00566A6F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</w:rPr>
              <w:t>Money-market instruments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Инструменты денежного рынка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III(3)</w:t>
            </w:r>
          </w:p>
        </w:tc>
        <w:tc>
          <w:tcPr>
            <w:tcW w:w="14854" w:type="dxa"/>
          </w:tcPr>
          <w:p w:rsidR="00887CDA" w:rsidRPr="0048717E" w:rsidRDefault="00566A6F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Units in collective investment undertakings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Паи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инвестиционных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фондов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III(4)</w:t>
            </w:r>
          </w:p>
        </w:tc>
        <w:tc>
          <w:tcPr>
            <w:tcW w:w="14854" w:type="dxa"/>
          </w:tcPr>
          <w:p w:rsidR="00887CDA" w:rsidRPr="0048717E" w:rsidRDefault="00566A6F" w:rsidP="004871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Options</w:t>
            </w:r>
            <w:r w:rsidR="00397D7E" w:rsidRPr="00397D7E">
              <w:rPr>
                <w:rFonts w:cstheme="minorHAnsi"/>
                <w:sz w:val="20"/>
                <w:szCs w:val="20"/>
                <w:lang w:val="en-US"/>
              </w:rPr>
              <w:t xml:space="preserve"> (O)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, futures</w:t>
            </w:r>
            <w:r w:rsidR="00397D7E">
              <w:rPr>
                <w:rFonts w:cstheme="minorHAnsi"/>
                <w:sz w:val="20"/>
                <w:szCs w:val="20"/>
                <w:lang w:val="en-US"/>
              </w:rPr>
              <w:t xml:space="preserve"> (F)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, swaps</w:t>
            </w:r>
            <w:r w:rsidR="00397D7E">
              <w:rPr>
                <w:rFonts w:cstheme="minorHAnsi"/>
                <w:sz w:val="20"/>
                <w:szCs w:val="20"/>
                <w:lang w:val="en-US"/>
              </w:rPr>
              <w:t xml:space="preserve"> (S)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, forward rate agreements</w:t>
            </w:r>
            <w:r w:rsidR="00397D7E">
              <w:rPr>
                <w:rFonts w:cstheme="minorHAnsi"/>
                <w:sz w:val="20"/>
                <w:szCs w:val="20"/>
                <w:lang w:val="en-US"/>
              </w:rPr>
              <w:t xml:space="preserve"> (FRA)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 xml:space="preserve"> and any other derivative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contracts</w:t>
            </w:r>
            <w:r w:rsidR="00397D7E">
              <w:rPr>
                <w:rFonts w:cstheme="minorHAnsi"/>
                <w:sz w:val="20"/>
                <w:szCs w:val="20"/>
                <w:lang w:val="en-US"/>
              </w:rPr>
              <w:t xml:space="preserve"> (DC)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 xml:space="preserve"> relating to securities, currencies, interest rates or yields, or other derivatives instruments, financial indices or financial measures which may be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917E1">
              <w:rPr>
                <w:rFonts w:cstheme="minorHAnsi"/>
                <w:sz w:val="20"/>
                <w:szCs w:val="20"/>
                <w:lang w:val="en-US"/>
              </w:rPr>
              <w:t>settled physically or in cash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Финансовые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инструменты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48717E">
              <w:rPr>
                <w:rFonts w:cstheme="minorHAnsi"/>
                <w:sz w:val="20"/>
                <w:szCs w:val="20"/>
              </w:rPr>
              <w:t>производные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от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ценных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бумаг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III(5)</w:t>
            </w:r>
          </w:p>
        </w:tc>
        <w:tc>
          <w:tcPr>
            <w:tcW w:w="14854" w:type="dxa"/>
          </w:tcPr>
          <w:p w:rsidR="00887CDA" w:rsidRPr="0048717E" w:rsidRDefault="00397D7E" w:rsidP="00397D7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O, F, S, FRA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and any other </w:t>
            </w:r>
            <w:r>
              <w:rPr>
                <w:rFonts w:cstheme="minorHAnsi"/>
                <w:sz w:val="20"/>
                <w:szCs w:val="20"/>
                <w:lang w:val="en-US"/>
              </w:rPr>
              <w:t>DC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relating to commodities that must be settled in cash or may be settled in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cash at the option of one of the parties (otherwise than by reason of a default or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other termination event)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61C4A">
              <w:rPr>
                <w:rFonts w:cstheme="minorHAnsi"/>
                <w:sz w:val="20"/>
                <w:szCs w:val="20"/>
              </w:rPr>
              <w:t>Бе</w:t>
            </w:r>
            <w:proofErr w:type="spellEnd"/>
            <w:r w:rsidR="00961C4A">
              <w:rPr>
                <w:rFonts w:cstheme="minorHAnsi"/>
                <w:sz w:val="20"/>
                <w:szCs w:val="20"/>
                <w:lang w:val="ru-RU"/>
              </w:rPr>
              <w:t>з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поставочные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финансовые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инструменты</w:t>
            </w:r>
            <w:proofErr w:type="spellEnd"/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48717E">
              <w:rPr>
                <w:rFonts w:cstheme="minorHAnsi"/>
                <w:sz w:val="20"/>
                <w:szCs w:val="20"/>
              </w:rPr>
              <w:t>производные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от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товарных</w:t>
            </w:r>
            <w:r w:rsidR="0048717E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активов</w:t>
            </w:r>
          </w:p>
        </w:tc>
      </w:tr>
      <w:tr w:rsidR="00887CDA" w:rsidRPr="00397D7E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III(6)</w:t>
            </w:r>
          </w:p>
        </w:tc>
        <w:tc>
          <w:tcPr>
            <w:tcW w:w="14854" w:type="dxa"/>
          </w:tcPr>
          <w:p w:rsidR="00887CDA" w:rsidRPr="00397D7E" w:rsidRDefault="00397D7E" w:rsidP="00397D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397D7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397D7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any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other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DC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relating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to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commodities</w:t>
            </w:r>
            <w:r w:rsidR="00B917E1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that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can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be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physically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settled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provided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that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they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are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traded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on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regulated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market</w:t>
            </w:r>
            <w:r w:rsidR="00B917E1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or</w:t>
            </w:r>
            <w:r w:rsidR="00566A6F" w:rsidRPr="00397D7E">
              <w:rPr>
                <w:rFonts w:cstheme="minorHAnsi"/>
                <w:sz w:val="20"/>
                <w:szCs w:val="20"/>
              </w:rPr>
              <w:t>/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an</w:t>
            </w:r>
            <w:r w:rsidR="00566A6F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MTF</w:t>
            </w:r>
            <w:r w:rsidR="00B917E1" w:rsidRPr="00397D7E">
              <w:rPr>
                <w:rFonts w:cstheme="minorHAnsi"/>
                <w:sz w:val="20"/>
                <w:szCs w:val="20"/>
              </w:rPr>
              <w:t xml:space="preserve"> / </w:t>
            </w:r>
            <w:r w:rsidR="0048717E">
              <w:rPr>
                <w:rFonts w:cstheme="minorHAnsi"/>
                <w:sz w:val="20"/>
                <w:szCs w:val="20"/>
              </w:rPr>
              <w:t>Поставочные</w:t>
            </w:r>
            <w:r w:rsidR="0048717E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финансовые</w:t>
            </w:r>
            <w:r w:rsidR="0048717E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инструменты</w:t>
            </w:r>
            <w:r w:rsidR="0048717E" w:rsidRPr="00397D7E">
              <w:rPr>
                <w:rFonts w:cstheme="minorHAnsi"/>
                <w:sz w:val="20"/>
                <w:szCs w:val="20"/>
              </w:rPr>
              <w:t xml:space="preserve">, </w:t>
            </w:r>
            <w:r w:rsidR="0048717E">
              <w:rPr>
                <w:rFonts w:cstheme="minorHAnsi"/>
                <w:sz w:val="20"/>
                <w:szCs w:val="20"/>
              </w:rPr>
              <w:t>производные</w:t>
            </w:r>
            <w:r w:rsidR="0048717E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от</w:t>
            </w:r>
            <w:r w:rsidR="0048717E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48717E">
              <w:rPr>
                <w:rFonts w:cstheme="minorHAnsi"/>
                <w:sz w:val="20"/>
                <w:szCs w:val="20"/>
              </w:rPr>
              <w:t>товарных</w:t>
            </w:r>
            <w:r w:rsidR="0048717E" w:rsidRPr="00397D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8717E">
              <w:rPr>
                <w:rFonts w:cstheme="minorHAnsi"/>
                <w:sz w:val="20"/>
                <w:szCs w:val="20"/>
              </w:rPr>
              <w:t>активов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торгуемые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оганизованных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рынках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или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Регулируемых</w:t>
            </w:r>
            <w:proofErr w:type="spellEnd"/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торговых</w:t>
            </w:r>
            <w:r w:rsidR="00E02892" w:rsidRPr="00397D7E">
              <w:rPr>
                <w:rFonts w:cstheme="minorHAnsi"/>
                <w:sz w:val="20"/>
                <w:szCs w:val="20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системах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III(7)</w:t>
            </w:r>
          </w:p>
        </w:tc>
        <w:tc>
          <w:tcPr>
            <w:tcW w:w="14854" w:type="dxa"/>
          </w:tcPr>
          <w:p w:rsidR="00887CDA" w:rsidRPr="00E02892" w:rsidRDefault="00397D7E" w:rsidP="00397D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O,F,S,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forwards and any other </w:t>
            </w:r>
            <w:r>
              <w:rPr>
                <w:rFonts w:cstheme="minorHAnsi"/>
                <w:sz w:val="20"/>
                <w:szCs w:val="20"/>
                <w:lang w:val="en-US"/>
              </w:rPr>
              <w:t>DC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relating to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commodities, that can be physically settled not otherwise mentioned in III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>(6)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and not being for commercial purposes, which have the characteristics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of other derivative financial instruments, having regard to whether, inter alia, they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are cleared and settled through </w:t>
            </w:r>
            <w:r w:rsidR="00E02892" w:rsidRPr="00B917E1">
              <w:rPr>
                <w:rFonts w:cstheme="minorHAnsi"/>
                <w:sz w:val="20"/>
                <w:szCs w:val="20"/>
                <w:lang w:val="en-US"/>
              </w:rPr>
              <w:t>recognized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clearing houses or are subject to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regular margin calls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Поставочные</w:t>
            </w:r>
            <w:proofErr w:type="spellEnd"/>
            <w:r w:rsidR="00E02892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финансовые</w:t>
            </w:r>
            <w:proofErr w:type="spellEnd"/>
            <w:r w:rsidR="00E02892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инструменты</w:t>
            </w:r>
            <w:proofErr w:type="spellEnd"/>
            <w:r w:rsidR="00E02892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неспекулятивного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характера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02892">
              <w:rPr>
                <w:rFonts w:cstheme="minorHAnsi"/>
                <w:sz w:val="20"/>
                <w:szCs w:val="20"/>
              </w:rPr>
              <w:t>производные</w:t>
            </w:r>
            <w:r w:rsidR="00E02892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от</w:t>
            </w:r>
            <w:r w:rsidR="00E02892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товарных</w:t>
            </w:r>
            <w:r w:rsidR="00E02892" w:rsidRPr="004871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активов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02892">
              <w:rPr>
                <w:rFonts w:cstheme="minorHAnsi"/>
                <w:sz w:val="20"/>
                <w:szCs w:val="20"/>
              </w:rPr>
              <w:t>не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включенные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в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п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.6 </w:t>
            </w:r>
            <w:r w:rsidR="00E02892">
              <w:rPr>
                <w:rFonts w:cstheme="minorHAnsi"/>
                <w:sz w:val="20"/>
                <w:szCs w:val="20"/>
              </w:rPr>
              <w:t>и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носящие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признаки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прочих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деривативов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E02892">
              <w:rPr>
                <w:rFonts w:cstheme="minorHAnsi"/>
                <w:sz w:val="20"/>
                <w:szCs w:val="20"/>
              </w:rPr>
              <w:t>включая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возможность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расчетов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в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признанных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клиринговых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центрах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и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по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которым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могут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выставляться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требования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о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2892">
              <w:rPr>
                <w:rFonts w:cstheme="minorHAnsi"/>
                <w:sz w:val="20"/>
                <w:szCs w:val="20"/>
              </w:rPr>
              <w:t>довнесении</w:t>
            </w:r>
            <w:proofErr w:type="spellEnd"/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ДС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III(8)</w:t>
            </w:r>
          </w:p>
        </w:tc>
        <w:tc>
          <w:tcPr>
            <w:tcW w:w="14854" w:type="dxa"/>
          </w:tcPr>
          <w:p w:rsidR="00887CDA" w:rsidRPr="00E02892" w:rsidRDefault="00566A6F" w:rsidP="00E028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Derivative instruments for the transfer of credit risk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E02892">
              <w:rPr>
                <w:rFonts w:cstheme="minorHAnsi"/>
                <w:sz w:val="20"/>
                <w:szCs w:val="20"/>
              </w:rPr>
              <w:t>Финансовые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инструменты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передачи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кредитного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риска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III(9)</w:t>
            </w:r>
          </w:p>
        </w:tc>
        <w:tc>
          <w:tcPr>
            <w:tcW w:w="14854" w:type="dxa"/>
          </w:tcPr>
          <w:p w:rsidR="00887CDA" w:rsidRPr="00E02892" w:rsidRDefault="00566A6F" w:rsidP="00E028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02892">
              <w:rPr>
                <w:rFonts w:cstheme="minorHAnsi"/>
                <w:sz w:val="20"/>
                <w:szCs w:val="20"/>
                <w:lang w:val="en-US"/>
              </w:rPr>
              <w:t>Financial contracts for differences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E02892">
              <w:rPr>
                <w:rFonts w:cstheme="minorHAnsi"/>
                <w:sz w:val="20"/>
                <w:szCs w:val="20"/>
              </w:rPr>
              <w:t>Финансовые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контракты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на</w:t>
            </w:r>
            <w:r w:rsidR="00E02892" w:rsidRPr="00E028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02892">
              <w:rPr>
                <w:rFonts w:cstheme="minorHAnsi"/>
                <w:sz w:val="20"/>
                <w:szCs w:val="20"/>
              </w:rPr>
              <w:t>разницу</w:t>
            </w:r>
          </w:p>
        </w:tc>
      </w:tr>
      <w:tr w:rsidR="00887CDA" w:rsidRPr="00516928" w:rsidTr="00397D7E">
        <w:tc>
          <w:tcPr>
            <w:tcW w:w="739" w:type="dxa"/>
          </w:tcPr>
          <w:p w:rsidR="00887CDA" w:rsidRPr="00B917E1" w:rsidRDefault="00887CDA" w:rsidP="008039EC">
            <w:pPr>
              <w:rPr>
                <w:rFonts w:cstheme="minorHAnsi"/>
                <w:sz w:val="20"/>
                <w:szCs w:val="20"/>
              </w:rPr>
            </w:pPr>
            <w:r w:rsidRPr="00B917E1">
              <w:rPr>
                <w:rFonts w:cstheme="minorHAnsi"/>
                <w:sz w:val="20"/>
                <w:szCs w:val="20"/>
                <w:lang w:val="en-US"/>
              </w:rPr>
              <w:t>III(10)</w:t>
            </w:r>
          </w:p>
        </w:tc>
        <w:tc>
          <w:tcPr>
            <w:tcW w:w="14854" w:type="dxa"/>
          </w:tcPr>
          <w:p w:rsidR="00887CDA" w:rsidRPr="00397D7E" w:rsidRDefault="00397D7E" w:rsidP="00397D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O, F, S, FRA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and any other </w:t>
            </w:r>
            <w:r>
              <w:rPr>
                <w:rFonts w:cstheme="minorHAnsi"/>
                <w:sz w:val="20"/>
                <w:szCs w:val="20"/>
                <w:lang w:val="en-US"/>
              </w:rPr>
              <w:t>DC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relating to climatic variables, freight rates, emission allowances or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inflation rates or other official economic statistics that must be settled in cash or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may be settled in cash at the option of one of the parties (otherwise than by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reason of a default or other termination event), as well as any other derivative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contract relating to assets, rights, obligations, indices and measures not otherwise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mentioned in this Part, which have the characteristics of other derivative financial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instruments, having regard to whether, inter alia, they are traded on a regulated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market or an MTF, are cleared and settled through </w:t>
            </w:r>
            <w:proofErr w:type="spellStart"/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recognised</w:t>
            </w:r>
            <w:proofErr w:type="spellEnd"/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 xml:space="preserve"> clearing houses or</w:t>
            </w:r>
            <w:r w:rsidR="00B917E1" w:rsidRPr="00B917E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66A6F" w:rsidRPr="00B917E1">
              <w:rPr>
                <w:rFonts w:cstheme="minorHAnsi"/>
                <w:sz w:val="20"/>
                <w:szCs w:val="20"/>
                <w:lang w:val="en-US"/>
              </w:rPr>
              <w:t>are subject to regular margin calls</w:t>
            </w:r>
            <w:r w:rsidR="00B917E1"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Прочие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финансовые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инструменты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производные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климатических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изменений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тарифов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на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фрахт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допустимых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уровней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загрязнения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индексов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уровней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инфляции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397D7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AF7105" w:rsidRPr="00B917E1" w:rsidRDefault="00AF7105">
      <w:pPr>
        <w:rPr>
          <w:rFonts w:cstheme="minorHAnsi"/>
          <w:sz w:val="20"/>
          <w:szCs w:val="20"/>
          <w:lang w:val="en-US"/>
        </w:rPr>
      </w:pPr>
    </w:p>
    <w:sectPr w:rsidR="00AF7105" w:rsidRPr="00B917E1" w:rsidSect="00634130">
      <w:pgSz w:w="16838" w:h="11906" w:orient="landscape" w:code="9"/>
      <w:pgMar w:top="142" w:right="851" w:bottom="0" w:left="851" w:header="27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01" w:rsidRDefault="00D82801" w:rsidP="00397D7E">
      <w:pPr>
        <w:spacing w:after="0" w:line="240" w:lineRule="auto"/>
      </w:pPr>
      <w:r>
        <w:separator/>
      </w:r>
    </w:p>
  </w:endnote>
  <w:endnote w:type="continuationSeparator" w:id="0">
    <w:p w:rsidR="00D82801" w:rsidRDefault="00D82801" w:rsidP="0039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01" w:rsidRDefault="00D82801" w:rsidP="00397D7E">
      <w:pPr>
        <w:spacing w:after="0" w:line="240" w:lineRule="auto"/>
      </w:pPr>
      <w:r>
        <w:separator/>
      </w:r>
    </w:p>
  </w:footnote>
  <w:footnote w:type="continuationSeparator" w:id="0">
    <w:p w:rsidR="00D82801" w:rsidRDefault="00D82801" w:rsidP="0039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DA"/>
    <w:rsid w:val="00397D7E"/>
    <w:rsid w:val="00486CF7"/>
    <w:rsid w:val="0048717E"/>
    <w:rsid w:val="00516928"/>
    <w:rsid w:val="00566A6F"/>
    <w:rsid w:val="00634130"/>
    <w:rsid w:val="00887CDA"/>
    <w:rsid w:val="00961C4A"/>
    <w:rsid w:val="00AF7105"/>
    <w:rsid w:val="00B917E1"/>
    <w:rsid w:val="00C02C60"/>
    <w:rsid w:val="00D82801"/>
    <w:rsid w:val="00E02892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7E"/>
  </w:style>
  <w:style w:type="paragraph" w:styleId="Footer">
    <w:name w:val="footer"/>
    <w:basedOn w:val="Normal"/>
    <w:link w:val="FooterChar"/>
    <w:uiPriority w:val="99"/>
    <w:semiHidden/>
    <w:unhideWhenUsed/>
    <w:rsid w:val="0039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7E"/>
  </w:style>
  <w:style w:type="paragraph" w:styleId="Footer">
    <w:name w:val="footer"/>
    <w:basedOn w:val="Normal"/>
    <w:link w:val="FooterChar"/>
    <w:uiPriority w:val="99"/>
    <w:semiHidden/>
    <w:unhideWhenUsed/>
    <w:rsid w:val="0039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Dmitry Tsyrkin</cp:lastModifiedBy>
  <cp:revision>4</cp:revision>
  <cp:lastPrinted>2012-12-18T15:16:00Z</cp:lastPrinted>
  <dcterms:created xsi:type="dcterms:W3CDTF">2012-12-18T15:24:00Z</dcterms:created>
  <dcterms:modified xsi:type="dcterms:W3CDTF">2012-12-18T15:38:00Z</dcterms:modified>
</cp:coreProperties>
</file>